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565B68">
      <w:pPr>
        <w:pStyle w:val="1"/>
      </w:pPr>
      <w:r>
        <w:fldChar w:fldCharType="begin"/>
      </w:r>
      <w:r>
        <w:instrText>HYPERLINK "http://mobileonline.garant.ru/document/redirect/72988362/0"</w:instrText>
      </w:r>
      <w:r>
        <w:fldChar w:fldCharType="separate"/>
      </w:r>
      <w:r>
        <w:rPr>
          <w:rStyle w:val="a4"/>
          <w:b w:val="0"/>
          <w:bCs w:val="0"/>
        </w:rPr>
        <w:t>Постановление Кабинета Министров Республики Татарстан от 31 октяб</w:t>
      </w:r>
      <w:r>
        <w:rPr>
          <w:rStyle w:val="a4"/>
          <w:b w:val="0"/>
          <w:bCs w:val="0"/>
        </w:rPr>
        <w:t>ря 2019 г. N 988 "Об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</w:t>
      </w:r>
      <w:r>
        <w:rPr>
          <w:rStyle w:val="a4"/>
          <w:b w:val="0"/>
          <w:bCs w:val="0"/>
        </w:rPr>
        <w:t>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самоуправлений"</w:t>
      </w:r>
      <w:r>
        <w:fldChar w:fldCharType="end"/>
      </w:r>
    </w:p>
    <w:p w:rsidR="00000000" w:rsidRDefault="00565B68">
      <w:pPr>
        <w:pStyle w:val="1"/>
      </w:pPr>
      <w:r>
        <w:t>Постановление Кабинета Министров Республики Татарстан</w:t>
      </w:r>
      <w:r>
        <w:br/>
        <w:t>от 31 октября 2019 г. N 988</w:t>
      </w:r>
      <w:r>
        <w:br/>
        <w:t>"Об утверждении Поря</w:t>
      </w:r>
      <w:r>
        <w:t>дка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</w:t>
      </w:r>
      <w:r>
        <w:t>атарстан, в части осуществления компенсационных выплат руководителям территориальных общественных самоуправлений"</w:t>
      </w:r>
    </w:p>
    <w:p w:rsidR="00000000" w:rsidRDefault="00565B68"/>
    <w:p w:rsidR="00000000" w:rsidRDefault="00565B68">
      <w:r>
        <w:t xml:space="preserve">В целях реализации </w:t>
      </w:r>
      <w:hyperlink r:id="rId7" w:history="1">
        <w:r>
          <w:rPr>
            <w:rStyle w:val="a4"/>
          </w:rPr>
          <w:t>государственной программы</w:t>
        </w:r>
      </w:hyperlink>
      <w:r>
        <w:t xml:space="preserve"> "Экономическое развитие и инновационная экономика Республики Татарстан на 2014-2024 годы", утвержденной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Кабинета Министров Республики Татарстан от 31.10.2013 N 823 "Об</w:t>
      </w:r>
      <w:r>
        <w:t xml:space="preserve"> утверждении государственной программы "Экономическое развитие и инновационная экономика Республики Татарстан на 2014-2024 годы", Кабинет Министров Республики Татарстан постановляет:</w:t>
      </w:r>
    </w:p>
    <w:p w:rsidR="00000000" w:rsidRDefault="00565B68">
      <w:bookmarkStart w:id="1" w:name="sub_1"/>
      <w:r>
        <w:t xml:space="preserve">1. Утвердить прилагаемый </w:t>
      </w:r>
      <w:hyperlink w:anchor="sub_100" w:history="1">
        <w:r>
          <w:rPr>
            <w:rStyle w:val="a4"/>
          </w:rPr>
          <w:t>Порядок</w:t>
        </w:r>
      </w:hyperlink>
      <w:r>
        <w:t xml:space="preserve"> предоставл</w:t>
      </w:r>
      <w:r>
        <w:t>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</w:t>
      </w:r>
      <w:r>
        <w:t>сти осуществления компенсационных выплат руководителям территориальных общественных самоуправлений.</w:t>
      </w:r>
    </w:p>
    <w:p w:rsidR="00000000" w:rsidRDefault="00565B68">
      <w:bookmarkStart w:id="2" w:name="sub_2"/>
      <w:bookmarkEnd w:id="1"/>
      <w:r>
        <w:t xml:space="preserve">2. Признать утратившим силу с 1 января 2020 года </w:t>
      </w:r>
      <w:hyperlink r:id="rId9" w:history="1">
        <w:r>
          <w:rPr>
            <w:rStyle w:val="a4"/>
          </w:rPr>
          <w:t>постановление</w:t>
        </w:r>
      </w:hyperlink>
      <w:r>
        <w:t xml:space="preserve"> Кабинета М</w:t>
      </w:r>
      <w:r>
        <w:t>инистров Республики Татарстан от 09.04.2018 N 226 "Об утверждении Порядка предоставления субсидий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</w:t>
      </w:r>
      <w:r>
        <w:t>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самоуправлений".</w:t>
      </w:r>
    </w:p>
    <w:p w:rsidR="00000000" w:rsidRDefault="00565B68">
      <w:bookmarkStart w:id="3" w:name="sub_3"/>
      <w:bookmarkEnd w:id="2"/>
      <w:r>
        <w:t>3. Контроль за исполнением настоящего постановления возложить на Министерство экон</w:t>
      </w:r>
      <w:r>
        <w:t>омики Республики Татарстан.</w:t>
      </w:r>
    </w:p>
    <w:p w:rsidR="00000000" w:rsidRDefault="00565B68">
      <w:bookmarkStart w:id="4" w:name="sub_4"/>
      <w:bookmarkEnd w:id="3"/>
      <w:r>
        <w:t>4. Установить, что настоящее постановление применяется к правоотношениям, возникающим при составлении и исполнении бюджетов бюджетной системы Республики Татарстан начиная с бюджетов на 2020 год (на 2020 год и на планов</w:t>
      </w:r>
      <w:r>
        <w:t>ый период 2021 и 2022 годов).</w:t>
      </w:r>
    </w:p>
    <w:bookmarkEnd w:id="4"/>
    <w:p w:rsidR="00000000" w:rsidRDefault="00565B6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65B68">
            <w:pPr>
              <w:pStyle w:val="a6"/>
            </w:pPr>
            <w:r>
              <w:t>Премьер-министр</w:t>
            </w:r>
            <w:r>
              <w:br/>
              <w:t>Республики Татарстан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65B68">
            <w:pPr>
              <w:pStyle w:val="a5"/>
              <w:jc w:val="right"/>
            </w:pPr>
            <w:r>
              <w:t>А.В. Песошин</w:t>
            </w:r>
          </w:p>
        </w:tc>
      </w:tr>
    </w:tbl>
    <w:p w:rsidR="00000000" w:rsidRDefault="00565B68"/>
    <w:p w:rsidR="00000000" w:rsidRDefault="00565B68"/>
    <w:p w:rsidR="00000000" w:rsidRDefault="00565B68">
      <w:pPr>
        <w:pStyle w:val="1"/>
      </w:pPr>
      <w:bookmarkStart w:id="5" w:name="sub_100"/>
      <w:r>
        <w:t>Порядок</w:t>
      </w:r>
      <w:r>
        <w:br/>
        <w:t>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</w:t>
      </w:r>
      <w:r>
        <w:t>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</w:t>
      </w:r>
      <w:r>
        <w:br/>
        <w:t xml:space="preserve">(утв. </w:t>
      </w:r>
      <w:hyperlink w:anchor="sub_1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КМ РТ от 31 октября 2019 г. N 988)</w:t>
      </w:r>
    </w:p>
    <w:bookmarkEnd w:id="5"/>
    <w:p w:rsidR="00000000" w:rsidRDefault="00565B68"/>
    <w:p w:rsidR="00000000" w:rsidRDefault="00565B68">
      <w:bookmarkStart w:id="6" w:name="sub_101"/>
      <w:r>
        <w:t>1. Настоящий Порядок определяет механизм предоставления иных межбюджетных трансфертов из бюджета Республики Татарстан бюджетам муниципальных образований Республики Татарстан на финансовое обеспечение затра</w:t>
      </w:r>
      <w:r>
        <w:t>т для проведения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 (далее - иные межбюдж</w:t>
      </w:r>
      <w:r>
        <w:t xml:space="preserve">етные трансферты) в рамках реализации </w:t>
      </w:r>
      <w:hyperlink r:id="rId10" w:history="1">
        <w:r>
          <w:rPr>
            <w:rStyle w:val="a4"/>
          </w:rPr>
          <w:t>государственной программы</w:t>
        </w:r>
      </w:hyperlink>
      <w:r>
        <w:t xml:space="preserve"> "Экономическое развитие и инновационная экономика Республики Татарстан на 2014-2024 годы", утвержденной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Кабинета Министров Республики Татарстан от 31.10.2013 N 823 "Об утверждении государственной программы "Экономическое развитие и инновационная экономика Республики Татарстан на 2014-</w:t>
      </w:r>
      <w:r>
        <w:t>2024 годы".</w:t>
      </w:r>
    </w:p>
    <w:p w:rsidR="00000000" w:rsidRDefault="00565B68">
      <w:bookmarkStart w:id="7" w:name="sub_102"/>
      <w:bookmarkEnd w:id="6"/>
      <w:r>
        <w:t>2. Иные межбюджетные трансферты предоставляются бюджетам:</w:t>
      </w:r>
    </w:p>
    <w:bookmarkEnd w:id="7"/>
    <w:p w:rsidR="00000000" w:rsidRDefault="00565B68">
      <w:r>
        <w:t>городских округов на осуществление компенсационных выплат руководителям территориальных общественных самоуправлений, зарегистрированных на территории городского окру</w:t>
      </w:r>
      <w:r>
        <w:t>га;</w:t>
      </w:r>
    </w:p>
    <w:p w:rsidR="00000000" w:rsidRDefault="00565B68">
      <w:r>
        <w:t>муниципальных районов для их последующего предоставления из бюджетов муниципальных районов бюджетам поселений, входящих в состав муниципального района, на осуществление компенсационных выплат руководителям территориальных общественных самоуправлений, з</w:t>
      </w:r>
      <w:r>
        <w:t>арегистрированных на территории соответствующих поселений.</w:t>
      </w:r>
    </w:p>
    <w:p w:rsidR="00000000" w:rsidRDefault="00565B68">
      <w:bookmarkStart w:id="8" w:name="sub_103"/>
      <w:r>
        <w:t>3. Иные межбюджетные трансферты предоставляются в пределах объема бюджетных ассигнований, предусмотренных на указанные цели в законе Республики Татарстан о бюджете Республики Татарстан на со</w:t>
      </w:r>
      <w:r>
        <w:t>ответствующий финансовый год и на плановый период.</w:t>
      </w:r>
    </w:p>
    <w:p w:rsidR="00000000" w:rsidRDefault="00565B68">
      <w:bookmarkStart w:id="9" w:name="sub_104"/>
      <w:bookmarkEnd w:id="8"/>
      <w:r>
        <w:t>4. Главным распорядителем бюджетных ассигнований, предоставляемых в соответствии с настоящим Порядком, является Министерство экономики Республики Татарстан (далее - Министерство).</w:t>
      </w:r>
    </w:p>
    <w:p w:rsidR="00000000" w:rsidRDefault="00565B68">
      <w:bookmarkStart w:id="10" w:name="sub_105"/>
      <w:bookmarkEnd w:id="9"/>
      <w:r>
        <w:t>5. Распределение иных межбюджетных трансфертов бюджетам муниципальных образований утверждается нормативным правовым актом Кабинета Министров Республики Татарстан.</w:t>
      </w:r>
    </w:p>
    <w:p w:rsidR="00000000" w:rsidRDefault="00565B68">
      <w:bookmarkStart w:id="11" w:name="sub_106"/>
      <w:bookmarkEnd w:id="10"/>
      <w:r>
        <w:t>6. Критериями отбора муниципальных образований Республики Татарстан для пред</w:t>
      </w:r>
      <w:r>
        <w:t>оставления иных межбюджетных трансфертов являются:</w:t>
      </w:r>
    </w:p>
    <w:bookmarkEnd w:id="11"/>
    <w:p w:rsidR="00000000" w:rsidRDefault="00565B68">
      <w:r>
        <w:t>наличие зарегистрированных на территории муниципального образования территориальных общественных самоуправлений (далее - ТОС);</w:t>
      </w:r>
    </w:p>
    <w:p w:rsidR="00000000" w:rsidRDefault="00565B68">
      <w:r>
        <w:t>численность населения, объединенного в ТОС, для городских округов (городских поселений) - не менее 80 человек, для сельских поселений - не менее 2000 человек.</w:t>
      </w:r>
    </w:p>
    <w:p w:rsidR="00000000" w:rsidRDefault="00565B68">
      <w:bookmarkStart w:id="12" w:name="sub_107"/>
      <w:r>
        <w:t>7. Условиями предоставления иных межбюджетных трансфертов бюджетам муниципальных образован</w:t>
      </w:r>
      <w:r>
        <w:t>ий являются:</w:t>
      </w:r>
    </w:p>
    <w:p w:rsidR="00000000" w:rsidRDefault="00565B68">
      <w:bookmarkStart w:id="13" w:name="sub_1071"/>
      <w:bookmarkEnd w:id="12"/>
      <w:r>
        <w:t>а) наличие распоряжения исполнительного комитета муниципального образования об утверждении перечня ТОС, руководителям которых осуществляется компенсационная выплата;</w:t>
      </w:r>
    </w:p>
    <w:p w:rsidR="00000000" w:rsidRDefault="00565B68">
      <w:bookmarkStart w:id="14" w:name="sub_1072"/>
      <w:bookmarkEnd w:id="13"/>
      <w:r>
        <w:t>б) для городского округа - наличие принятого в</w:t>
      </w:r>
      <w:r>
        <w:t xml:space="preserve"> установленном порядке правового акта городского округа, определяющего расходные обязательства по осуществлению компенсационных выплат руководителям ТОС;</w:t>
      </w:r>
    </w:p>
    <w:bookmarkEnd w:id="14"/>
    <w:p w:rsidR="00000000" w:rsidRDefault="00565B68">
      <w:r>
        <w:t>для муниципального района - наличие принятого в установленном порядке правового акта муниципал</w:t>
      </w:r>
      <w:r>
        <w:t>ьного района, определяющего расходные обязательства муниципального района по предоставлению иных межбюджетных трансфертов бюджетам поселений, входящих в состав муниципального района, по осуществлению компенсационных выплат руководителям ТОС, который должен</w:t>
      </w:r>
      <w:r>
        <w:t xml:space="preserve"> предусматривать условием предоставления иных межбюджетных трансфертов наличие принятого в установленном порядке муниципального правового акта поселения, определяющего расходные обязательства по осуществлению компенсационных выплат руководителям ТОС.</w:t>
      </w:r>
    </w:p>
    <w:p w:rsidR="00000000" w:rsidRDefault="00565B68">
      <w:bookmarkStart w:id="15" w:name="sub_108"/>
      <w:r>
        <w:t>8. Показателем результативности использования иных межбюджетных трансфертов является количество ТОС, которым предоставлена поддержка на осуществление компенсационных выплат руководителям ТОС.</w:t>
      </w:r>
    </w:p>
    <w:p w:rsidR="00000000" w:rsidRDefault="00565B68">
      <w:bookmarkStart w:id="16" w:name="sub_109"/>
      <w:bookmarkEnd w:id="15"/>
      <w:r>
        <w:lastRenderedPageBreak/>
        <w:t>9. Для получения иных межбюджетных трансфертов и</w:t>
      </w:r>
      <w:r>
        <w:t>сполнительные комитеты муниципальных образований представляют в Министерство:</w:t>
      </w:r>
    </w:p>
    <w:bookmarkEnd w:id="16"/>
    <w:p w:rsidR="00000000" w:rsidRDefault="00565B68">
      <w:r>
        <w:t>заявку на предоставление иных межбюджетных трансфертов по форме, утвержденной Министерством;</w:t>
      </w:r>
    </w:p>
    <w:p w:rsidR="00000000" w:rsidRDefault="00565B68">
      <w:r>
        <w:t>копии учредительных документов ТОС;</w:t>
      </w:r>
    </w:p>
    <w:p w:rsidR="00000000" w:rsidRDefault="00565B68">
      <w:r>
        <w:t>расчет и обоснование финансовой потребност</w:t>
      </w:r>
      <w:r>
        <w:t>и на осуществление компенсационных выплат руководителям ТОС.</w:t>
      </w:r>
    </w:p>
    <w:p w:rsidR="00000000" w:rsidRDefault="00565B68">
      <w:r>
        <w:t>Документы представляются муниципальным образованием на бумажном и электронном носителях.</w:t>
      </w:r>
    </w:p>
    <w:p w:rsidR="00000000" w:rsidRDefault="00565B68">
      <w:bookmarkStart w:id="17" w:name="sub_110"/>
      <w:r>
        <w:t>10. Министерство:</w:t>
      </w:r>
    </w:p>
    <w:bookmarkEnd w:id="17"/>
    <w:p w:rsidR="00000000" w:rsidRDefault="00565B68">
      <w:r>
        <w:t>регистрирует заявку на предоставление иных межбюджетных трансфертов в день</w:t>
      </w:r>
      <w:r>
        <w:t xml:space="preserve"> ее поступления в журнале регистрации заявок;</w:t>
      </w:r>
    </w:p>
    <w:p w:rsidR="00000000" w:rsidRDefault="00565B68">
      <w:r>
        <w:t>в 10-дневный срок, исчисляемый в рабочих днях, со дня регистрации рассматривает представленные документы и принимает решение о предоставлении иных межбюджетных трансфертов или об отказе в предоставлении иных ме</w:t>
      </w:r>
      <w:r>
        <w:t>жбюджетных трансфертов.</w:t>
      </w:r>
    </w:p>
    <w:p w:rsidR="00000000" w:rsidRDefault="00565B68">
      <w:bookmarkStart w:id="18" w:name="sub_111"/>
      <w:r>
        <w:t>11. Основаниями для отказа в предоставлении иных межбюджетных трансфертов являются:</w:t>
      </w:r>
    </w:p>
    <w:bookmarkEnd w:id="18"/>
    <w:p w:rsidR="00000000" w:rsidRDefault="00565B68">
      <w:r>
        <w:t xml:space="preserve">непредставление (представление не в полном объеме) документов, указанных в </w:t>
      </w:r>
      <w:hyperlink w:anchor="sub_109" w:history="1">
        <w:r>
          <w:rPr>
            <w:rStyle w:val="a4"/>
          </w:rPr>
          <w:t>пункте 9</w:t>
        </w:r>
      </w:hyperlink>
      <w:r>
        <w:t xml:space="preserve"> настоящего Порядка;</w:t>
      </w:r>
    </w:p>
    <w:p w:rsidR="00000000" w:rsidRDefault="00565B68">
      <w:r>
        <w:t>несоо</w:t>
      </w:r>
      <w:r>
        <w:t>тветствие представленных документов, содержащихся в них сведений требованиям и условиям, предусмотренным настоящим Порядком;</w:t>
      </w:r>
    </w:p>
    <w:p w:rsidR="00000000" w:rsidRDefault="00565B68">
      <w:r>
        <w:t>недостоверность представленной муниципальным образованием информации.</w:t>
      </w:r>
    </w:p>
    <w:p w:rsidR="00000000" w:rsidRDefault="00565B68">
      <w:r>
        <w:t>В случае отказа в предоставлении иных межбюджетных трансферто</w:t>
      </w:r>
      <w:r>
        <w:t>в Министерство в 10-дневный срок, исчисляемый в рабочих днях, со дня принятия решения направляет уведомление об этом муниципальному образованию.</w:t>
      </w:r>
    </w:p>
    <w:p w:rsidR="00000000" w:rsidRDefault="00565B68">
      <w:bookmarkStart w:id="19" w:name="sub_112"/>
      <w:r>
        <w:t>12. Иные межбюджетные трансферты предоставляются на основании соглашения, заключаемого между Министерств</w:t>
      </w:r>
      <w:r>
        <w:t>ом и исполнительными комитетами муниципальных образований в соответствии с формой, утвержденной Министерством (далее - Соглашение).</w:t>
      </w:r>
    </w:p>
    <w:p w:rsidR="00000000" w:rsidRDefault="00565B68">
      <w:bookmarkStart w:id="20" w:name="sub_113"/>
      <w:bookmarkEnd w:id="19"/>
      <w:r>
        <w:t>13. В Соглашении предусматриваются:</w:t>
      </w:r>
    </w:p>
    <w:bookmarkEnd w:id="20"/>
    <w:p w:rsidR="00000000" w:rsidRDefault="00565B68">
      <w:r>
        <w:t>размер иных межбюджетных трансфертов, их целевое назначение;</w:t>
      </w:r>
    </w:p>
    <w:p w:rsidR="00000000" w:rsidRDefault="00565B68">
      <w:r>
        <w:t>значен</w:t>
      </w:r>
      <w:r>
        <w:t>ие показателя результативности использования иных межбюджетных трансфертов;</w:t>
      </w:r>
    </w:p>
    <w:p w:rsidR="00000000" w:rsidRDefault="00565B68">
      <w:r>
        <w:t>порядок перечисления иных межбюджетных трансфертов;</w:t>
      </w:r>
    </w:p>
    <w:p w:rsidR="00000000" w:rsidRDefault="00565B68">
      <w:r>
        <w:t>сроки и формы представления отчетности об использовании иных межбюджетных трансфертов и достижении показателя результативности и</w:t>
      </w:r>
      <w:r>
        <w:t>спользования иных межбюджетных трансфертов;</w:t>
      </w:r>
    </w:p>
    <w:p w:rsidR="00000000" w:rsidRDefault="00565B68">
      <w:r>
        <w:t>последствия недостижения получателем иных межбюджетных трансфертов установленного показателя результативности использования иного межбюджетного трансферта;</w:t>
      </w:r>
    </w:p>
    <w:p w:rsidR="00000000" w:rsidRDefault="00565B68">
      <w:r>
        <w:t>порядок осуществления контроля за соблюдением муниципаль</w:t>
      </w:r>
      <w:r>
        <w:t>ным образованием иных межбюджетных трансфертов обязательств, предусмотренных Соглашением;</w:t>
      </w:r>
    </w:p>
    <w:p w:rsidR="00000000" w:rsidRDefault="00565B68">
      <w:r>
        <w:t>ответственность сторон за нарушение условий Соглашения.</w:t>
      </w:r>
    </w:p>
    <w:p w:rsidR="00000000" w:rsidRDefault="00565B68">
      <w:bookmarkStart w:id="21" w:name="sub_114"/>
      <w:r>
        <w:t>14. Размер иных межбюджетных трансфертов бюджету i-го муниципального образования рассчитывается по следующей формуле:</w:t>
      </w:r>
    </w:p>
    <w:bookmarkEnd w:id="21"/>
    <w:p w:rsidR="00000000" w:rsidRDefault="00565B68"/>
    <w:p w:rsidR="00000000" w:rsidRDefault="00230807">
      <w:pPr>
        <w:ind w:firstLine="698"/>
        <w:jc w:val="center"/>
      </w:pPr>
      <w:r>
        <w:rPr>
          <w:noProof/>
        </w:rPr>
        <w:drawing>
          <wp:inline distT="0" distB="0" distL="0" distR="0">
            <wp:extent cx="2430780" cy="289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B68">
        <w:t>,</w:t>
      </w:r>
    </w:p>
    <w:p w:rsidR="00000000" w:rsidRDefault="00565B68"/>
    <w:p w:rsidR="00000000" w:rsidRDefault="00565B68">
      <w:r>
        <w:t>где:</w:t>
      </w:r>
    </w:p>
    <w:p w:rsidR="00000000" w:rsidRDefault="00230807">
      <w:r>
        <w:rPr>
          <w:noProof/>
        </w:rPr>
        <w:drawing>
          <wp:inline distT="0" distB="0" distL="0" distR="0">
            <wp:extent cx="182880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B68">
        <w:t xml:space="preserve"> - финансовая потребность i-го муниципального образ</w:t>
      </w:r>
      <w:r w:rsidR="00565B68">
        <w:t xml:space="preserve">ования на осуществление </w:t>
      </w:r>
      <w:r w:rsidR="00565B68">
        <w:lastRenderedPageBreak/>
        <w:t>компенсационных выплат руководителям ТОС, рублей;</w:t>
      </w:r>
    </w:p>
    <w:p w:rsidR="00000000" w:rsidRDefault="00230807">
      <w:r>
        <w:rPr>
          <w:noProof/>
        </w:rPr>
        <w:drawing>
          <wp:inline distT="0" distB="0" distL="0" distR="0">
            <wp:extent cx="243840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B68">
        <w:t xml:space="preserve"> - количество ТОС, являющихся юридическими лицами, единиц;</w:t>
      </w:r>
    </w:p>
    <w:p w:rsidR="00000000" w:rsidRDefault="00230807">
      <w:r>
        <w:rPr>
          <w:noProof/>
        </w:rPr>
        <w:drawing>
          <wp:inline distT="0" distB="0" distL="0" distR="0">
            <wp:extent cx="243840" cy="266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B68">
        <w:t xml:space="preserve"> - количество ТОС, не являющихся юридическими лицами,</w:t>
      </w:r>
      <w:r w:rsidR="00565B68">
        <w:t xml:space="preserve"> единиц;</w:t>
      </w:r>
    </w:p>
    <w:p w:rsidR="00000000" w:rsidRDefault="00230807">
      <w:r>
        <w:rPr>
          <w:noProof/>
        </w:rPr>
        <w:drawing>
          <wp:inline distT="0" distB="0" distL="0" distR="0">
            <wp:extent cx="213360" cy="266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B68">
        <w:t xml:space="preserve"> - размер компенсационной выплаты руководителю ТОС, являющегося юридическим лицом, для городского (сельского) поселения в размере 13020,0 рубля, для городского округа - 19530,0 рубля;</w:t>
      </w:r>
    </w:p>
    <w:p w:rsidR="00000000" w:rsidRDefault="00230807">
      <w:r>
        <w:rPr>
          <w:noProof/>
        </w:rPr>
        <w:drawing>
          <wp:inline distT="0" distB="0" distL="0" distR="0">
            <wp:extent cx="213360" cy="266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B68">
        <w:t xml:space="preserve"> - размер компенсационной выплаты руководителю ТОС, не являющегося юридическим лицом, для городского (сельского) поселения в размере 10000,0 рубля, для городского округа - 15000,0 рубля.</w:t>
      </w:r>
    </w:p>
    <w:p w:rsidR="00000000" w:rsidRDefault="00565B68">
      <w:bookmarkStart w:id="22" w:name="sub_115"/>
      <w:r>
        <w:t>15. Министерство в 30-дневный срок, исчисляемый в раб</w:t>
      </w:r>
      <w:r>
        <w:t>очих днях, со дня вступления в силу нормативного правового акта Кабинета Министров Республики Татарстан о распределении иных межбюджетных трансфертов направляет муниципальному образованию для подписания проект Соглашения.</w:t>
      </w:r>
    </w:p>
    <w:p w:rsidR="00000000" w:rsidRDefault="00565B68">
      <w:bookmarkStart w:id="23" w:name="sub_116"/>
      <w:bookmarkEnd w:id="22"/>
      <w:r>
        <w:t>16. Соглашение подпи</w:t>
      </w:r>
      <w:r>
        <w:t>сывается Министерством в 15-дневный срок, исчисляемый в рабочих днях, со дня получения от муниципального образования подписанного с его стороны Соглашения.</w:t>
      </w:r>
    </w:p>
    <w:p w:rsidR="00000000" w:rsidRDefault="00565B68">
      <w:bookmarkStart w:id="24" w:name="sub_117"/>
      <w:bookmarkEnd w:id="23"/>
      <w:r>
        <w:t>17. Оценка результативности использования иных межбюджетных трансфертов осуществляется</w:t>
      </w:r>
      <w:r>
        <w:t xml:space="preserve"> путем сравнения установленного Соглашением значения показателя результативности использования иных межбюджетных трансфертов и значения показателя результативности использования иных межбюджетных трансфертов, фактически достигнутого по итогам завершения пл</w:t>
      </w:r>
      <w:r>
        <w:t>анового года.</w:t>
      </w:r>
    </w:p>
    <w:p w:rsidR="00000000" w:rsidRDefault="00565B68">
      <w:bookmarkStart w:id="25" w:name="sub_118"/>
      <w:bookmarkEnd w:id="24"/>
      <w:r>
        <w:t>18. Иные межбюджетные трансферты перечисляются Министерством бюджетам муниципальных образований на счета территориальных органов Управления Федерального казначейства по Республике Татарстан, открытые в учреждениях Центрального б</w:t>
      </w:r>
      <w:r>
        <w:t>анка Российской Федерации для учета операций со средствами бюджетов муниципальных образований, в 10-дневный срок, исчисляемый в рабочих днях, со дня заключения Соглашения.</w:t>
      </w:r>
    </w:p>
    <w:p w:rsidR="00000000" w:rsidRDefault="00565B68">
      <w:bookmarkStart w:id="26" w:name="sub_119"/>
      <w:bookmarkEnd w:id="25"/>
      <w:r>
        <w:t>19. Исполнительные комитеты муниципальных образований представляют в М</w:t>
      </w:r>
      <w:r>
        <w:t>инистерство отчет об использовании иных межбюджетных трансфертов и достижении показателя результативности использования иных межбюджетных трансфертов в сроки и по форме, предусмотренные Соглашением.</w:t>
      </w:r>
    </w:p>
    <w:p w:rsidR="00000000" w:rsidRDefault="00565B68">
      <w:bookmarkStart w:id="27" w:name="sub_120"/>
      <w:bookmarkEnd w:id="26"/>
      <w:r>
        <w:t>20. Не использованные по состоянию на 1 янв</w:t>
      </w:r>
      <w:r>
        <w:t>аря текущего финансового года иные межбюджетные трансферты, полученные в соответствии с настоящим Порядком, подлежат возврату в доход бюджета Республики Татарстан в течение первых 15 рабочих дней текущего финансового года.</w:t>
      </w:r>
    </w:p>
    <w:bookmarkEnd w:id="27"/>
    <w:p w:rsidR="00000000" w:rsidRDefault="00565B68">
      <w:r>
        <w:t xml:space="preserve">В соответствии с решением </w:t>
      </w:r>
      <w:r>
        <w:t>Министерства о наличии потребности в иных межбюджетных трансфертах, не использованных в отчетном финансовом году, средства в объеме, не превышающем остатка указанных иных межбюджетных трансфертов, могут быть возвращены в текущем финансовом году в доход бюд</w:t>
      </w:r>
      <w:r>
        <w:t>жета муниципального образования, которому они были ранее предоставлены, для финансового обеспечения расходов бюджета муниципального образования, соответствующих целям предоставления указанных иных межбюджетных трансфертов.</w:t>
      </w:r>
    </w:p>
    <w:p w:rsidR="00000000" w:rsidRDefault="00565B68">
      <w:r>
        <w:t>В случае если неиспользованный ос</w:t>
      </w:r>
      <w:r>
        <w:t>таток иных межбюджетных трансфертов, полученных в соответствии с настоящим Порядком,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</w:t>
      </w:r>
      <w:r>
        <w:t>ов Республики Татарстан, с соблюдением общих требований, установленных Министерством финансов Российской Федерации.</w:t>
      </w:r>
    </w:p>
    <w:p w:rsidR="00000000" w:rsidRDefault="00565B68">
      <w:bookmarkStart w:id="28" w:name="sub_121"/>
      <w:r>
        <w:t xml:space="preserve">21. Исполнительные комитеты муниципальных образований и должностные лица несут в соответствии с законодательством ответственность за </w:t>
      </w:r>
      <w:r>
        <w:t xml:space="preserve">недостоверность представляемых отчетных </w:t>
      </w:r>
      <w:r>
        <w:lastRenderedPageBreak/>
        <w:t>сведений и соблюдение условий предоставления иных межбюджетных трансфертов.</w:t>
      </w:r>
    </w:p>
    <w:p w:rsidR="00000000" w:rsidRDefault="00565B68">
      <w:bookmarkStart w:id="29" w:name="sub_122"/>
      <w:bookmarkEnd w:id="28"/>
      <w:r>
        <w:t>22. В случае нарушения условий предоставления иных межбюджетных трансфертов соответствующие средства подлежат перечислению в д</w:t>
      </w:r>
      <w:r>
        <w:t xml:space="preserve">оход бюджета Республики Татарстан в порядке, установленном </w:t>
      </w:r>
      <w:hyperlink r:id="rId18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</w:t>
      </w:r>
    </w:p>
    <w:p w:rsidR="00565B68" w:rsidRDefault="00565B68">
      <w:bookmarkStart w:id="30" w:name="sub_123"/>
      <w:bookmarkEnd w:id="29"/>
      <w:r>
        <w:t>23. Контроль за целевым использованием предоставленных в соо</w:t>
      </w:r>
      <w:r>
        <w:t>тветствии с настоящим Порядком иных межбюджетных трансфертов осуществляют в соответствии с законодательством Министерство и Министерство финансов Республики Татарстан.</w:t>
      </w:r>
      <w:bookmarkEnd w:id="30"/>
    </w:p>
    <w:sectPr w:rsidR="00565B68">
      <w:headerReference w:type="default" r:id="rId19"/>
      <w:footerReference w:type="default" r:id="rId2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B68" w:rsidRDefault="00565B68">
      <w:r>
        <w:separator/>
      </w:r>
    </w:p>
  </w:endnote>
  <w:endnote w:type="continuationSeparator" w:id="0">
    <w:p w:rsidR="00565B68" w:rsidRDefault="0056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65B6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23080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0807">
            <w:rPr>
              <w:rFonts w:ascii="Times New Roman" w:hAnsi="Times New Roman" w:cs="Times New Roman"/>
              <w:noProof/>
              <w:sz w:val="20"/>
              <w:szCs w:val="20"/>
            </w:rPr>
            <w:t>26.12.2019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65B6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65B6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3080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080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3080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0807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B68" w:rsidRDefault="00565B68">
      <w:r>
        <w:separator/>
      </w:r>
    </w:p>
  </w:footnote>
  <w:footnote w:type="continuationSeparator" w:id="0">
    <w:p w:rsidR="00565B68" w:rsidRDefault="0056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65B6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Кабинета Министров Республики Татарстан от 31 октября 2019 г. N 988 "Об утверждении Порядка…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07"/>
    <w:rsid w:val="00230807"/>
    <w:rsid w:val="0056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4B62ED-0959-4E0B-B01B-1CB31238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2506322/0" TargetMode="External"/><Relationship Id="rId13" Type="http://schemas.openxmlformats.org/officeDocument/2006/relationships/image" Target="media/image2.emf"/><Relationship Id="rId18" Type="http://schemas.openxmlformats.org/officeDocument/2006/relationships/hyperlink" Target="http://mobileonline.garant.ru/document/redirect/12112604/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mobileonline.garant.ru/document/redirect/22506322/100" TargetMode="Externa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22506322/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hyperlink" Target="http://mobileonline.garant.ru/document/redirect/22506322/10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22567822/0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Денис Ханнанов</cp:lastModifiedBy>
  <cp:revision>2</cp:revision>
  <dcterms:created xsi:type="dcterms:W3CDTF">2019-12-26T05:59:00Z</dcterms:created>
  <dcterms:modified xsi:type="dcterms:W3CDTF">2019-12-26T05:59:00Z</dcterms:modified>
</cp:coreProperties>
</file>