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26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615C50">
        <w:rPr>
          <w:rFonts w:ascii="Times New Roman" w:hAnsi="Times New Roman"/>
          <w:b/>
          <w:sz w:val="28"/>
          <w:szCs w:val="28"/>
        </w:rPr>
        <w:t xml:space="preserve">Федеральный закон от 28 декабря 2016 г. N 501-ФЗ </w:t>
      </w:r>
    </w:p>
    <w:p w:rsidR="00A75926" w:rsidRPr="00615C50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15C50">
        <w:rPr>
          <w:rFonts w:ascii="Times New Roman" w:hAnsi="Times New Roman"/>
          <w:b/>
          <w:sz w:val="28"/>
          <w:szCs w:val="28"/>
        </w:rPr>
        <w:t>О внесении изменений в</w:t>
      </w:r>
      <w:r>
        <w:rPr>
          <w:rFonts w:ascii="Times New Roman" w:hAnsi="Times New Roman"/>
          <w:b/>
          <w:sz w:val="28"/>
          <w:szCs w:val="28"/>
        </w:rPr>
        <w:t xml:space="preserve"> статью 11 Федерального закона «</w:t>
      </w:r>
      <w:r w:rsidRPr="00615C50">
        <w:rPr>
          <w:rFonts w:ascii="Times New Roman" w:hAnsi="Times New Roman"/>
          <w:b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b/>
          <w:sz w:val="28"/>
          <w:szCs w:val="28"/>
        </w:rPr>
        <w:t>равления в Российской Федерации»</w:t>
      </w:r>
    </w:p>
    <w:bookmarkEnd w:id="0"/>
    <w:p w:rsidR="00A75926" w:rsidRPr="00615C50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Внесены изменения в Закон об общих принципах организации местного самоуправления.</w:t>
      </w:r>
    </w:p>
    <w:p w:rsidR="00A75926" w:rsidRPr="00615C50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Правительство РФ уполномочено утверждать перечни субъектов Федерации, отдельных муниципальных районов в субъектах Федерации, которые относятся к территориям с высокой и низкой плотностью сельского населения. При этом данные перечни могут пересматриваться не чаще 1 раза в 5 лет.</w:t>
      </w:r>
    </w:p>
    <w:p w:rsidR="00A75926" w:rsidRPr="00615C50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Указанный срок решено не применять в случае отнесения территории нового субъекта Федерации, образованного в составе России, отдельных муниципальных районов в таком субъекте Федерации к территориям с низкой или высокой плотностью сельского населения.</w:t>
      </w:r>
    </w:p>
    <w:p w:rsidR="00A75926" w:rsidRPr="00615C50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Напомним, для таких территорий установлен ряд особенностей. В частности, при низкой плотности сельского населения (более чем в 3 раза ниже средней плотности сельского населения в России) допускается создание межселенных территорий, находящихся вне границ поселений, в пределах которых все вопросы местного значения решаются органами местного самоуправления муниципального района. Для территорий с высокой плотностью сельского населения устанавливаются более высокие критерии минимальной численности жителей сельских населенных пунктов, включаемых в состав сельского поселения.</w:t>
      </w:r>
    </w:p>
    <w:p w:rsidR="00A75926" w:rsidRDefault="00A75926" w:rsidP="00A759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Кроме того, внесены отдельные юридико-технические изменения в целях единообразного использования применяемых в законе терминов.</w:t>
      </w:r>
    </w:p>
    <w:p w:rsidR="00522222" w:rsidRPr="00A75926" w:rsidRDefault="00522222" w:rsidP="00A75926"/>
    <w:sectPr w:rsidR="00522222" w:rsidRPr="00A75926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511FB2"/>
    <w:rsid w:val="00522222"/>
    <w:rsid w:val="005B66B5"/>
    <w:rsid w:val="00654C7D"/>
    <w:rsid w:val="00961140"/>
    <w:rsid w:val="00A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2017-02-15T08:27:00Z</dcterms:created>
  <dcterms:modified xsi:type="dcterms:W3CDTF">2017-02-15T08:33:00Z</dcterms:modified>
</cp:coreProperties>
</file>